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1"/>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625"/>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364"/>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09"/>
                        </w:tblGrid>
                        <w:tr w:rsidR="0015696D" w:rsidRPr="0015696D" w:rsidTr="0015696D">
                          <w:trPr>
                            <w:tblCellSpacing w:w="15" w:type="dxa"/>
                          </w:trPr>
                          <w:tc>
                            <w:tcPr>
                              <w:tcW w:w="0" w:type="auto"/>
                              <w:vAlign w:val="center"/>
                              <w:hideMark/>
                            </w:tcPr>
                            <w:p w:rsidR="00C01B52" w:rsidRPr="00C01B52" w:rsidRDefault="00D2712D" w:rsidP="00C01B52">
                              <w:pPr>
                                <w:jc w:val="center"/>
                                <w:rPr>
                                  <w:rFonts w:ascii="Times New Roman" w:eastAsia="Times New Roman" w:hAnsi="Times New Roman" w:cs="Times New Roman"/>
                                  <w:sz w:val="24"/>
                                  <w:szCs w:val="24"/>
                                  <w:lang w:eastAsia="fr-FR"/>
                                </w:rPr>
                              </w:pPr>
                              <w:r w:rsidRPr="00B45EC8">
                                <w:rPr>
                                  <w:rFonts w:ascii="Times New Roman" w:eastAsia="Times New Roman" w:hAnsi="Times New Roman" w:cs="Times New Roman"/>
                                  <w:noProof/>
                                  <w:sz w:val="28"/>
                                  <w:szCs w:val="28"/>
                                  <w:lang w:eastAsia="fr-FR"/>
                                </w:rPr>
                                <w:drawing>
                                  <wp:anchor distT="0" distB="0" distL="114300" distR="114300" simplePos="0" relativeHeight="251658240"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C01B52" w:rsidRPr="00C01B52">
                                <w:rPr>
                                  <w:rFonts w:ascii="Times New Roman" w:eastAsia="Times New Roman" w:hAnsi="Times New Roman" w:cs="Times New Roman"/>
                                  <w:b/>
                                  <w:bCs/>
                                  <w:sz w:val="30"/>
                                  <w:szCs w:val="30"/>
                                  <w:lang w:eastAsia="fr-FR"/>
                                </w:rPr>
                                <w:t>Avis de Soutenance</w:t>
                              </w:r>
                              <w:r w:rsidR="00C01B52" w:rsidRPr="00C01B52">
                                <w:rPr>
                                  <w:rFonts w:ascii="Times New Roman" w:eastAsia="Times New Roman" w:hAnsi="Times New Roman" w:cs="Times New Roman"/>
                                  <w:sz w:val="24"/>
                                  <w:szCs w:val="24"/>
                                  <w:lang w:eastAsia="fr-FR"/>
                                </w:rPr>
                                <w:t xml:space="preserve"> </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t>Madame Linda LAHLEH</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t xml:space="preserve">Droit - EDSJP Toulouse </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t>Soutiendra publiquement ses travaux de thèse intitulés</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i/>
                                  <w:iCs/>
                                  <w:sz w:val="20"/>
                                  <w:szCs w:val="20"/>
                                  <w:lang w:eastAsia="fr-FR"/>
                                </w:rPr>
                                <w:t>L'intérêt des actionnaires des sociétés d'investissement à capital variable - Evaluation juridique de la loi jordanienne par rapport aux approches françaises et européennes</w:t>
                              </w:r>
                              <w:r w:rsidR="00C01B52" w:rsidRPr="00C01B52">
                                <w:rPr>
                                  <w:rFonts w:ascii="Times New Roman" w:eastAsia="Times New Roman" w:hAnsi="Times New Roman" w:cs="Times New Roman"/>
                                  <w:sz w:val="24"/>
                                  <w:szCs w:val="24"/>
                                  <w:lang w:eastAsia="fr-FR"/>
                                </w:rPr>
                                <w:t xml:space="preserve"> </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t xml:space="preserve">dirigés par Madame Catherine GINESTET </w:t>
                              </w:r>
                              <w:r w:rsidR="00C01B52" w:rsidRPr="00C01B52">
                                <w:rPr>
                                  <w:rFonts w:ascii="Times New Roman" w:eastAsia="Times New Roman" w:hAnsi="Times New Roman" w:cs="Times New Roman"/>
                                  <w:sz w:val="24"/>
                                  <w:szCs w:val="24"/>
                                  <w:lang w:eastAsia="fr-FR"/>
                                </w:rPr>
                                <w:br/>
                              </w:r>
                              <w:bookmarkStart w:id="0" w:name="_GoBack"/>
                              <w:bookmarkEnd w:id="0"/>
                              <w:r w:rsidR="00C01B52" w:rsidRPr="00C01B52">
                                <w:rPr>
                                  <w:rFonts w:ascii="Times New Roman" w:eastAsia="Times New Roman" w:hAnsi="Times New Roman" w:cs="Times New Roman"/>
                                  <w:sz w:val="24"/>
                                  <w:szCs w:val="24"/>
                                  <w:lang w:eastAsia="fr-FR"/>
                                </w:rPr>
                                <w:br/>
                                <w:t xml:space="preserve">Soutenance prévue le </w:t>
                              </w:r>
                              <w:r w:rsidR="00C01B52" w:rsidRPr="00C01B52">
                                <w:rPr>
                                  <w:rFonts w:ascii="Times New Roman" w:eastAsia="Times New Roman" w:hAnsi="Times New Roman" w:cs="Times New Roman"/>
                                  <w:b/>
                                  <w:bCs/>
                                  <w:i/>
                                  <w:iCs/>
                                  <w:sz w:val="24"/>
                                  <w:szCs w:val="24"/>
                                  <w:lang w:eastAsia="fr-FR"/>
                                </w:rPr>
                                <w:t xml:space="preserve">vendredi 29 juin 2018 </w:t>
                              </w:r>
                              <w:r w:rsidR="00C01B52" w:rsidRPr="00C01B52">
                                <w:rPr>
                                  <w:rFonts w:ascii="Times New Roman" w:eastAsia="Times New Roman" w:hAnsi="Times New Roman" w:cs="Times New Roman"/>
                                  <w:sz w:val="24"/>
                                  <w:szCs w:val="24"/>
                                  <w:lang w:eastAsia="fr-FR"/>
                                </w:rPr>
                                <w:t>à 14h00</w:t>
                              </w:r>
                              <w:r w:rsidR="00C01B52" w:rsidRPr="00C01B52">
                                <w:rPr>
                                  <w:rFonts w:ascii="Times New Roman" w:eastAsia="Times New Roman" w:hAnsi="Times New Roman" w:cs="Times New Roman"/>
                                  <w:sz w:val="24"/>
                                  <w:szCs w:val="24"/>
                                  <w:lang w:eastAsia="fr-FR"/>
                                </w:rPr>
                                <w:br/>
                                <w:t xml:space="preserve">Lieu :   2 Rue du Doyen-Gabriel-Marty 31042 Toulouse </w:t>
                              </w:r>
                              <w:r w:rsidR="00C01B52" w:rsidRPr="00C01B52">
                                <w:rPr>
                                  <w:rFonts w:ascii="Times New Roman" w:eastAsia="Times New Roman" w:hAnsi="Times New Roman" w:cs="Times New Roman"/>
                                  <w:sz w:val="24"/>
                                  <w:szCs w:val="24"/>
                                  <w:lang w:eastAsia="fr-FR"/>
                                </w:rPr>
                                <w:br/>
                                <w:t xml:space="preserve">salle des Thèses </w:t>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sz w:val="24"/>
                                  <w:szCs w:val="24"/>
                                  <w:lang w:eastAsia="fr-FR"/>
                                </w:rPr>
                                <w:br/>
                              </w:r>
                              <w:r w:rsidR="00C01B52" w:rsidRPr="00C01B52">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1"/>
                                <w:gridCol w:w="121"/>
                                <w:gridCol w:w="3091"/>
                                <w:gridCol w:w="121"/>
                                <w:gridCol w:w="1835"/>
                              </w:tblGrid>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Mme Catherine GINESTET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Université Toulouse 1 Capitole</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Directeur de thèse </w:t>
                                    </w:r>
                                  </w:p>
                                </w:tc>
                              </w:tr>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M. Pierre MOUSSERON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Université de Montpellier</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Rapporteur </w:t>
                                    </w:r>
                                  </w:p>
                                </w:tc>
                              </w:tr>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M. Tariq HAMMOURI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University of Jordan</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Rapporteur </w:t>
                                    </w:r>
                                  </w:p>
                                </w:tc>
                              </w:tr>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M. Laurent GROSCLAUDE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Université Toulouse 1 Capitole</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xml:space="preserve">Examinateur </w:t>
                                    </w:r>
                                  </w:p>
                                </w:tc>
                              </w:tr>
                            </w:tbl>
                            <w:p w:rsidR="00C01B52" w:rsidRPr="00C01B52" w:rsidRDefault="00C01B52" w:rsidP="00C01B52">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7035"/>
                              </w:tblGrid>
                              <w:tr w:rsidR="00C01B52" w:rsidRPr="00C01B52" w:rsidTr="00C01B52">
                                <w:trPr>
                                  <w:tblCellSpacing w:w="15" w:type="dxa"/>
                                </w:trPr>
                                <w:tc>
                                  <w:tcPr>
                                    <w:tcW w:w="0" w:type="auto"/>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b/>
                                        <w:bCs/>
                                        <w:sz w:val="24"/>
                                        <w:szCs w:val="24"/>
                                        <w:lang w:eastAsia="fr-FR"/>
                                      </w:rPr>
                                      <w:t>Mots-clés :</w:t>
                                    </w:r>
                                    <w:r w:rsidRPr="00C01B52">
                                      <w:rPr>
                                        <w:rFonts w:ascii="Times New Roman" w:eastAsia="Times New Roman" w:hAnsi="Times New Roman" w:cs="Times New Roman"/>
                                        <w:sz w:val="24"/>
                                        <w:szCs w:val="24"/>
                                        <w:lang w:eastAsia="fr-FR"/>
                                      </w:rPr>
                                      <w:t xml:space="preserve"> </w:t>
                                    </w:r>
                                  </w:p>
                                </w:tc>
                                <w:tc>
                                  <w:tcPr>
                                    <w:tcW w:w="0" w:type="auto"/>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SICAV,</w:t>
                                    </w:r>
                                    <w:r>
                                      <w:rPr>
                                        <w:rFonts w:ascii="Times New Roman" w:eastAsia="Times New Roman" w:hAnsi="Times New Roman" w:cs="Times New Roman"/>
                                        <w:sz w:val="24"/>
                                        <w:szCs w:val="24"/>
                                        <w:lang w:eastAsia="fr-FR"/>
                                      </w:rPr>
                                      <w:t xml:space="preserve"> </w:t>
                                    </w:r>
                                    <w:r w:rsidRPr="00C01B52">
                                      <w:rPr>
                                        <w:rFonts w:ascii="Times New Roman" w:eastAsia="Times New Roman" w:hAnsi="Times New Roman" w:cs="Times New Roman"/>
                                        <w:sz w:val="24"/>
                                        <w:szCs w:val="24"/>
                                        <w:lang w:eastAsia="fr-FR"/>
                                      </w:rPr>
                                      <w:t>OPCVM,</w:t>
                                    </w:r>
                                    <w:r>
                                      <w:rPr>
                                        <w:rFonts w:ascii="Times New Roman" w:eastAsia="Times New Roman" w:hAnsi="Times New Roman" w:cs="Times New Roman"/>
                                        <w:sz w:val="24"/>
                                        <w:szCs w:val="24"/>
                                        <w:lang w:eastAsia="fr-FR"/>
                                      </w:rPr>
                                      <w:t xml:space="preserve"> </w:t>
                                    </w:r>
                                    <w:r w:rsidRPr="00C01B52">
                                      <w:rPr>
                                        <w:rFonts w:ascii="Times New Roman" w:eastAsia="Times New Roman" w:hAnsi="Times New Roman" w:cs="Times New Roman"/>
                                        <w:sz w:val="24"/>
                                        <w:szCs w:val="24"/>
                                        <w:lang w:eastAsia="fr-FR"/>
                                      </w:rPr>
                                      <w:t>Gouvernance d'entreprise,</w:t>
                                    </w:r>
                                    <w:r>
                                      <w:rPr>
                                        <w:rFonts w:ascii="Times New Roman" w:eastAsia="Times New Roman" w:hAnsi="Times New Roman" w:cs="Times New Roman"/>
                                        <w:sz w:val="24"/>
                                        <w:szCs w:val="24"/>
                                        <w:lang w:eastAsia="fr-FR"/>
                                      </w:rPr>
                                      <w:t xml:space="preserve"> </w:t>
                                    </w:r>
                                    <w:r w:rsidRPr="00C01B52">
                                      <w:rPr>
                                        <w:rFonts w:ascii="Times New Roman" w:eastAsia="Times New Roman" w:hAnsi="Times New Roman" w:cs="Times New Roman"/>
                                        <w:sz w:val="24"/>
                                        <w:szCs w:val="24"/>
                                        <w:lang w:eastAsia="fr-FR"/>
                                      </w:rPr>
                                      <w:t>Intérêt des actionnaires,</w:t>
                                    </w:r>
                                    <w:r>
                                      <w:rPr>
                                        <w:rFonts w:ascii="Times New Roman" w:eastAsia="Times New Roman" w:hAnsi="Times New Roman" w:cs="Times New Roman"/>
                                        <w:sz w:val="24"/>
                                        <w:szCs w:val="24"/>
                                        <w:lang w:eastAsia="fr-FR"/>
                                      </w:rPr>
                                      <w:t xml:space="preserve"> </w:t>
                                    </w:r>
                                    <w:r w:rsidRPr="00C01B52">
                                      <w:rPr>
                                        <w:rFonts w:ascii="Times New Roman" w:eastAsia="Times New Roman" w:hAnsi="Times New Roman" w:cs="Times New Roman"/>
                                        <w:sz w:val="24"/>
                                        <w:szCs w:val="24"/>
                                        <w:lang w:eastAsia="fr-FR"/>
                                      </w:rPr>
                                      <w:t>Responsabilité du dirigeant,</w:t>
                                    </w:r>
                                    <w:r>
                                      <w:rPr>
                                        <w:rFonts w:ascii="Times New Roman" w:eastAsia="Times New Roman" w:hAnsi="Times New Roman" w:cs="Times New Roman"/>
                                        <w:sz w:val="24"/>
                                        <w:szCs w:val="24"/>
                                        <w:lang w:eastAsia="fr-FR"/>
                                      </w:rPr>
                                      <w:t xml:space="preserve"> </w:t>
                                    </w:r>
                                    <w:r w:rsidRPr="00C01B52">
                                      <w:rPr>
                                        <w:rFonts w:ascii="Times New Roman" w:eastAsia="Times New Roman" w:hAnsi="Times New Roman" w:cs="Times New Roman"/>
                                        <w:sz w:val="24"/>
                                        <w:szCs w:val="24"/>
                                        <w:lang w:eastAsia="fr-FR"/>
                                      </w:rPr>
                                      <w:t>Compliance</w:t>
                                    </w: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59"/>
                              </w:tblGrid>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b/>
                                        <w:bCs/>
                                        <w:sz w:val="24"/>
                                        <w:szCs w:val="24"/>
                                        <w:lang w:eastAsia="fr-FR"/>
                                      </w:rPr>
                                      <w:t>Résumé :</w:t>
                                    </w:r>
                                    <w:r w:rsidRPr="00C01B52">
                                      <w:rPr>
                                        <w:rFonts w:ascii="Times New Roman" w:eastAsia="Times New Roman" w:hAnsi="Times New Roman" w:cs="Times New Roman"/>
                                        <w:sz w:val="24"/>
                                        <w:szCs w:val="24"/>
                                        <w:lang w:eastAsia="fr-FR"/>
                                      </w:rPr>
                                      <w:t xml:space="preserve">  </w:t>
                                    </w:r>
                                  </w:p>
                                </w:tc>
                              </w:tr>
                              <w:tr w:rsidR="00C01B52" w:rsidRPr="00C01B52" w:rsidTr="00C01B52">
                                <w:trPr>
                                  <w:tblCellSpacing w:w="15" w:type="dxa"/>
                                </w:trPr>
                                <w:tc>
                                  <w:tcPr>
                                    <w:tcW w:w="0" w:type="auto"/>
                                    <w:vAlign w:val="center"/>
                                    <w:hideMark/>
                                  </w:tcPr>
                                  <w:p w:rsidR="00C01B52" w:rsidRPr="00C01B52" w:rsidRDefault="00C01B52" w:rsidP="00C01B52">
                                    <w:pPr>
                                      <w:spacing w:after="0" w:line="240" w:lineRule="auto"/>
                                      <w:jc w:val="both"/>
                                      <w:rPr>
                                        <w:rFonts w:ascii="Times New Roman" w:eastAsia="Times New Roman" w:hAnsi="Times New Roman" w:cs="Times New Roman"/>
                                        <w:sz w:val="20"/>
                                        <w:szCs w:val="20"/>
                                        <w:lang w:eastAsia="fr-FR"/>
                                      </w:rPr>
                                    </w:pPr>
                                    <w:r w:rsidRPr="00C01B52">
                                      <w:rPr>
                                        <w:rFonts w:ascii="Times New Roman" w:eastAsia="Times New Roman" w:hAnsi="Times New Roman" w:cs="Times New Roman"/>
                                        <w:sz w:val="16"/>
                                        <w:szCs w:val="16"/>
                                        <w:lang w:eastAsia="fr-FR"/>
                                      </w:rPr>
                                      <w:t>Les sociétés d'investissement participent au développement des marchés financiers nationaux et internationaux. Elles offrent, tant aux petits porteurs qu’aux investisseurs professionnels, un accès aux divers marchés de capitaux, peu important leur niveau de connaissance et d'investissement. Elles fournissent un investissement sain, basé sur la répartition des risques. Tout au long du processus d'investissement, les intérêts des investisseurs sont ainsi protégés et garantis, la société d'investissement agissant toujours dans le meilleur intérêt de ses actionnaires. Ce processus respecte une obligation dépassant la norme légale consistant à faire prévaloir l'intérêt commun de la société plutôt que l’intérêt personnel de chaque actionnaire. Cette obligation trouve son origine dans le type d'activité que les sociétés d'investissement exercent ainsi que dans le principe commun de la participation continue des actionnaires dans la performance de la société. Les actionnaires sont donc prêts à encourir des risques et des pertes plus importants. Les sociétés d'investissement exercent leurs activités d'investissement collectif en respectant un cadre réglementaire national, tout en tentant de minimiser les pertes et de maximiser les profits. Ce cadre réglementaire doit donc être efficace et répondre aux besoins des investisseurs, des actionnaires et du marché. Le cadre réglementaire jordanien des sociétés d'investissement à capital variable, malgré les récentes modifications, manque de mesures de protection concrètes pour les investisseurs et les actionnaires. L'objectif de cette thèse est d'évaluer l'étendue de la protection des intérêts des actionnaires et de sa viabilité à la lumière des approches françaises et européennes. Cette thèse procède à une évaluation juridique approfondie et à une analyse du cadre réglementaire existant des sociétés d'investissement à capital variable. Cette thèse interroge l'organisation de la société, les services d’investissement, la gouvernance d'entreprise, la structure de gestion, la responsabilité et la rémunération. En plus d'aborder le rôle des actionnaires dans la réalisation de leur propre</w:t>
                                    </w:r>
                                    <w:r w:rsidRPr="00C01B52">
                                      <w:rPr>
                                        <w:rFonts w:ascii="Times New Roman" w:eastAsia="Times New Roman" w:hAnsi="Times New Roman" w:cs="Times New Roman"/>
                                        <w:sz w:val="20"/>
                                        <w:szCs w:val="20"/>
                                        <w:lang w:eastAsia="fr-FR"/>
                                      </w:rPr>
                                      <w:t xml:space="preserve"> </w:t>
                                    </w:r>
                                    <w:r w:rsidRPr="00C01B52">
                                      <w:rPr>
                                        <w:rFonts w:ascii="Times New Roman" w:eastAsia="Times New Roman" w:hAnsi="Times New Roman" w:cs="Times New Roman"/>
                                        <w:sz w:val="16"/>
                                        <w:szCs w:val="16"/>
                                        <w:lang w:eastAsia="fr-FR"/>
                                      </w:rPr>
                                      <w:t>protection et le rôle des autorités compétentes dans la protection du marché et de ses participants, le résultat de cette analyse est de vérifier si l'état actuel de la règlementation est suffisant et satisfaisant pour</w:t>
                                    </w:r>
                                    <w:r w:rsidRPr="00C01B52">
                                      <w:rPr>
                                        <w:rFonts w:ascii="Times New Roman" w:eastAsia="Times New Roman" w:hAnsi="Times New Roman" w:cs="Times New Roman"/>
                                        <w:sz w:val="20"/>
                                        <w:szCs w:val="20"/>
                                        <w:lang w:eastAsia="fr-FR"/>
                                      </w:rPr>
                                      <w:t xml:space="preserve"> </w:t>
                                    </w:r>
                                    <w:r w:rsidRPr="00C01B52">
                                      <w:rPr>
                                        <w:rFonts w:ascii="Times New Roman" w:eastAsia="Times New Roman" w:hAnsi="Times New Roman" w:cs="Times New Roman"/>
                                        <w:sz w:val="16"/>
                                        <w:szCs w:val="16"/>
                                        <w:lang w:eastAsia="fr-FR"/>
                                      </w:rPr>
                                      <w:t>répondre aux défis de la protection des actionnaires et des exigences du marché ou si un mouvement légis</w:t>
                                    </w:r>
                                    <w:r>
                                      <w:rPr>
                                        <w:rFonts w:ascii="Times New Roman" w:eastAsia="Times New Roman" w:hAnsi="Times New Roman" w:cs="Times New Roman"/>
                                        <w:sz w:val="16"/>
                                        <w:szCs w:val="16"/>
                                        <w:lang w:eastAsia="fr-FR"/>
                                      </w:rPr>
                                      <w:t>latif devrait être mis en place.</w:t>
                                    </w:r>
                                  </w:p>
                                </w:tc>
                              </w:tr>
                              <w:tr w:rsidR="00C01B52" w:rsidRPr="00C01B52" w:rsidTr="00C01B52">
                                <w:trPr>
                                  <w:tblCellSpacing w:w="15" w:type="dxa"/>
                                </w:trPr>
                                <w:tc>
                                  <w:tcPr>
                                    <w:tcW w:w="0" w:type="auto"/>
                                    <w:vAlign w:val="center"/>
                                    <w:hideMark/>
                                  </w:tcPr>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2D"/>
    <w:rsid w:val="0015696D"/>
    <w:rsid w:val="00415E16"/>
    <w:rsid w:val="00417486"/>
    <w:rsid w:val="00B14FBC"/>
    <w:rsid w:val="00C01B52"/>
    <w:rsid w:val="00C75601"/>
    <w:rsid w:val="00D008B9"/>
    <w:rsid w:val="00D27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4F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BF2D-20F8-4A20-A276-E5F3CADD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 MALDENT</dc:creator>
  <cp:lastModifiedBy>CECILE PETIT</cp:lastModifiedBy>
  <cp:revision>2</cp:revision>
  <cp:lastPrinted>2018-06-08T09:51:00Z</cp:lastPrinted>
  <dcterms:created xsi:type="dcterms:W3CDTF">2018-06-08T09:56:00Z</dcterms:created>
  <dcterms:modified xsi:type="dcterms:W3CDTF">2018-06-08T09:56:00Z</dcterms:modified>
</cp:coreProperties>
</file>